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仿宋_GB2312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仿宋_GB2312"/>
          <w:kern w:val="0"/>
          <w:sz w:val="44"/>
          <w:szCs w:val="44"/>
          <w:lang w:val="en-US" w:eastAsia="zh-CN"/>
        </w:rPr>
        <w:t>上海机场中航佳美航空食品有限公司</w:t>
      </w:r>
    </w:p>
    <w:p>
      <w:pPr>
        <w:jc w:val="center"/>
        <w:rPr>
          <w:rFonts w:hint="eastAsia" w:ascii="方正小标宋简体" w:eastAsia="方正小标宋简体" w:cs="仿宋_GB2312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仿宋_GB2312"/>
          <w:kern w:val="0"/>
          <w:sz w:val="44"/>
          <w:szCs w:val="44"/>
          <w:lang w:val="en-US" w:eastAsia="zh-CN"/>
        </w:rPr>
        <w:t>虹桥厂区污水站运营托管服务项目</w:t>
      </w:r>
    </w:p>
    <w:p>
      <w:pPr>
        <w:jc w:val="center"/>
        <w:rPr>
          <w:rFonts w:hint="eastAsia" w:ascii="方正小标宋简体" w:eastAsia="方正小标宋简体" w:cs="仿宋_GB2312"/>
          <w:kern w:val="0"/>
          <w:sz w:val="36"/>
          <w:szCs w:val="36"/>
          <w:lang w:val="en-US" w:eastAsia="zh-CN"/>
        </w:rPr>
      </w:pPr>
      <w:r>
        <w:rPr>
          <w:rFonts w:ascii="方正小标宋简体" w:eastAsia="方正小标宋简体" w:cs="仿宋_GB2312"/>
          <w:kern w:val="0"/>
          <w:sz w:val="44"/>
          <w:szCs w:val="44"/>
        </w:rPr>
        <w:t>采购</w:t>
      </w:r>
      <w:r>
        <w:rPr>
          <w:rFonts w:hint="eastAsia" w:ascii="方正小标宋简体" w:eastAsia="方正小标宋简体" w:cs="仿宋_GB2312"/>
          <w:kern w:val="0"/>
          <w:sz w:val="44"/>
          <w:szCs w:val="44"/>
          <w:lang w:val="en-US" w:eastAsia="zh-CN"/>
        </w:rPr>
        <w:t>需求</w:t>
      </w:r>
    </w:p>
    <w:p>
      <w:pPr>
        <w:ind w:firstLine="640" w:firstLineChars="200"/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ind w:leftChars="0" w:firstLine="640" w:firstLineChars="200"/>
        <w:rPr>
          <w:rFonts w:ascii="黑体" w:hAnsi="黑体" w:eastAsia="黑体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1.项目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背景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：上海机场中航佳美航空食品有限公司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虹桥厂区污水站运营托管服务合同即将到期。根据生态环境局对辖区内工业企业污水站的相关要求，拟对虹桥</w:t>
      </w:r>
      <w:bookmarkStart w:id="0" w:name="_Hlk101548781"/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厂区污水站运营托管服务</w:t>
      </w:r>
      <w:bookmarkEnd w:id="0"/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提出采购申请。</w:t>
      </w:r>
    </w:p>
    <w:p>
      <w:pPr>
        <w:spacing w:line="336" w:lineRule="auto"/>
        <w:ind w:firstLine="640" w:firstLineChars="200"/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2.项目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：上海机场中航佳美航空食品有限公司虹桥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厂区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污水站运营托管服务项目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36" w:lineRule="auto"/>
        <w:ind w:firstLine="640" w:firstLineChars="200"/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.合同期限：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自合同签订之日起三年</w:t>
      </w:r>
    </w:p>
    <w:p>
      <w:pPr>
        <w:spacing w:line="336" w:lineRule="auto"/>
        <w:ind w:firstLine="640" w:firstLineChars="200"/>
        <w:rPr>
          <w:rFonts w:hint="default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.交付期限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及方式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每月提交设备运行记录的台账。</w:t>
      </w:r>
    </w:p>
    <w:p>
      <w:pPr>
        <w:spacing w:line="336" w:lineRule="auto"/>
        <w:ind w:firstLine="640" w:firstLineChars="200"/>
        <w:rPr>
          <w:rFonts w:hint="default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.付款方式：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每半</w:t>
      </w:r>
      <w:bookmarkStart w:id="1" w:name="_GoBack"/>
      <w:bookmarkEnd w:id="1"/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年支付一次，在收到增值税专用发票后60天内支付，具体内容以合同约定为准。</w:t>
      </w:r>
    </w:p>
    <w:p>
      <w:pPr>
        <w:spacing w:line="336" w:lineRule="auto"/>
        <w:ind w:firstLine="640" w:firstLineChars="200"/>
        <w:rPr>
          <w:rFonts w:ascii="仿宋_GB2312" w:hAnsi="微软雅黑" w:eastAsia="仿宋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.项目地点：</w:t>
      </w:r>
      <w:r>
        <w:rPr>
          <w:rFonts w:hint="eastAsia" w:ascii="仿宋_GB2312" w:hAnsi="微软雅黑" w:eastAsia="仿宋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上海市闵行区申达五路106号。</w:t>
      </w:r>
    </w:p>
    <w:p>
      <w:pPr>
        <w:pStyle w:val="6"/>
        <w:numPr>
          <w:ilvl w:val="0"/>
          <w:numId w:val="0"/>
        </w:numPr>
        <w:ind w:leftChars="0" w:firstLine="640" w:firstLineChars="200"/>
        <w:rPr>
          <w:rFonts w:ascii="黑体" w:hAnsi="黑体" w:eastAsia="黑体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虹桥机场分公司厂房污水站设计污水处理能力为300m3/d。服务商现场勘查了解服务需求。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服务目标：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1.按系统及各设备操作规范进行操作维护。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2.污水处理达标排放，做到环保零事故。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3.7 ×24小时技术服务及支持，响应时间＜4小时。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4.保证所有设备正常运行率在95%以上。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5.故障恢复时间＜24小时。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6.建立日常运行记录和设备台账，建立相应的质量保证体系，并接受环保部门的台账检查。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7.污水站水质标准要求：</w:t>
      </w:r>
    </w:p>
    <w:p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主要的进出水水质标准</w:t>
      </w:r>
    </w:p>
    <w:tbl>
      <w:tblPr>
        <w:tblStyle w:val="4"/>
        <w:tblW w:w="4997" w:type="pct"/>
        <w:tblInd w:w="0" w:type="dxa"/>
        <w:tblBorders>
          <w:top w:val="none" w:color="auto" w:sz="0" w:space="0"/>
          <w:left w:val="single" w:color="000000" w:sz="12" w:space="0"/>
          <w:bottom w:val="none" w:color="auto" w:sz="0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21"/>
        <w:gridCol w:w="1081"/>
        <w:gridCol w:w="1081"/>
        <w:gridCol w:w="1081"/>
        <w:gridCol w:w="1081"/>
        <w:gridCol w:w="1076"/>
        <w:gridCol w:w="1061"/>
      </w:tblGrid>
      <w:tr>
        <w:tblPrEx>
          <w:tblBorders>
            <w:top w:val="none" w:color="auto" w:sz="0" w:space="0"/>
            <w:left w:val="single" w:color="000000" w:sz="12" w:space="0"/>
            <w:bottom w:val="none" w:color="auto" w:sz="0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83" w:type="pc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水质指标</w:t>
            </w:r>
          </w:p>
        </w:tc>
        <w:tc>
          <w:tcPr>
            <w:tcW w:w="423" w:type="pc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pH</w:t>
            </w:r>
          </w:p>
        </w:tc>
        <w:tc>
          <w:tcPr>
            <w:tcW w:w="634" w:type="pc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COD</w:t>
            </w:r>
            <w:r>
              <w:rPr>
                <w:rFonts w:hint="eastAsia" w:ascii="宋体" w:hAnsi="宋体" w:eastAsia="宋体" w:cs="宋体"/>
                <w:sz w:val="24"/>
                <w:vertAlign w:val="subscript"/>
              </w:rPr>
              <w:t>Cr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(mg/L)</w:t>
            </w:r>
          </w:p>
        </w:tc>
        <w:tc>
          <w:tcPr>
            <w:tcW w:w="634" w:type="pc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NH</w:t>
            </w:r>
            <w:r>
              <w:rPr>
                <w:rFonts w:hint="eastAsia" w:ascii="宋体" w:hAnsi="宋体" w:eastAsia="宋体" w:cs="宋体"/>
                <w:sz w:val="24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-N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(mg/L)</w:t>
            </w:r>
          </w:p>
        </w:tc>
        <w:tc>
          <w:tcPr>
            <w:tcW w:w="634" w:type="pc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TN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(mg/L)</w:t>
            </w:r>
          </w:p>
        </w:tc>
        <w:tc>
          <w:tcPr>
            <w:tcW w:w="634" w:type="pc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TP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(mg/L)</w:t>
            </w:r>
          </w:p>
        </w:tc>
        <w:tc>
          <w:tcPr>
            <w:tcW w:w="631" w:type="pc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SS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(mg/L)</w:t>
            </w:r>
          </w:p>
        </w:tc>
        <w:tc>
          <w:tcPr>
            <w:tcW w:w="622" w:type="pc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动植物油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(mg/L)</w:t>
            </w:r>
          </w:p>
        </w:tc>
      </w:tr>
      <w:tr>
        <w:tblPrEx>
          <w:tblBorders>
            <w:top w:val="none" w:color="auto" w:sz="0" w:space="0"/>
            <w:left w:val="single" w:color="000000" w:sz="12" w:space="0"/>
            <w:bottom w:val="none" w:color="auto" w:sz="0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3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进水水质</w:t>
            </w:r>
          </w:p>
        </w:tc>
        <w:tc>
          <w:tcPr>
            <w:tcW w:w="423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6~9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2500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75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120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  <w:tc>
          <w:tcPr>
            <w:tcW w:w="631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500</w:t>
            </w:r>
          </w:p>
        </w:tc>
        <w:tc>
          <w:tcPr>
            <w:tcW w:w="622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1000</w:t>
            </w:r>
          </w:p>
        </w:tc>
      </w:tr>
      <w:tr>
        <w:tblPrEx>
          <w:tblBorders>
            <w:top w:val="none" w:color="auto" w:sz="0" w:space="0"/>
            <w:left w:val="single" w:color="000000" w:sz="12" w:space="0"/>
            <w:bottom w:val="none" w:color="auto" w:sz="0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3" w:type="pct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出水水质</w:t>
            </w:r>
          </w:p>
        </w:tc>
        <w:tc>
          <w:tcPr>
            <w:tcW w:w="423" w:type="pct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6~9</w:t>
            </w:r>
          </w:p>
        </w:tc>
        <w:tc>
          <w:tcPr>
            <w:tcW w:w="634" w:type="pct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&lt;500</w:t>
            </w:r>
          </w:p>
        </w:tc>
        <w:tc>
          <w:tcPr>
            <w:tcW w:w="634" w:type="pct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&lt;40</w:t>
            </w:r>
          </w:p>
        </w:tc>
        <w:tc>
          <w:tcPr>
            <w:tcW w:w="634" w:type="pct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&lt;60</w:t>
            </w:r>
          </w:p>
        </w:tc>
        <w:tc>
          <w:tcPr>
            <w:tcW w:w="634" w:type="pct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&lt;8</w:t>
            </w:r>
          </w:p>
        </w:tc>
        <w:tc>
          <w:tcPr>
            <w:tcW w:w="631" w:type="pct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&lt;400</w:t>
            </w:r>
          </w:p>
        </w:tc>
        <w:tc>
          <w:tcPr>
            <w:tcW w:w="622" w:type="pct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&lt;100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污水处理站系统内的设备操作、工艺技术管理，保证污水处理排放达到《DB31/199-2018》第二类污染物的标准。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）服务内容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及要求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1.水质取样检测分析，工艺数据记录、跟踪、分析及反馈。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2.负责污泥压滤和干泥外运处置。</w:t>
      </w:r>
    </w:p>
    <w:p>
      <w:pPr>
        <w:ind w:firstLine="640" w:firstLineChars="200"/>
        <w:rPr>
          <w:rFonts w:hint="default" w:ascii="方正楷体_GBK" w:hAnsi="方正楷体_GBK" w:eastAsia="方正楷体_GBK" w:cs="方正楷体_GBK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3.干泥运输处置需提供有处置协议和跟踪记录（最终去向）台账：产生单位-收运单位-处置单位，以供环保部门查询。可与我司签署污泥运输处置协议或三方处置协议。相关处置费用均包含在本项目费用内。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4.常规设备、仪表定期检查、维护、保养，确保设备设施完好并记录，有完善的台账。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5.专业设备设施定期联系厂商维护保养，确保设备设施正常运行维保记录清晰完整。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6.设备耗材及易损件供应及定期更换。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7.积极配合我方做好水务、环保、上级领导单位或行政主管单位的监督、检查等工作。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.本项目涉及的采购方厂房污水站，服务商确保在后续的使用、管理等环节，严格遵守相关的法律法规及地方政府规定，如服务商对污水站运营期间，采购方因污水站原因收到相关管理部门处罚，或造成采购方其他损失的，服务商应对采购方承担赔偿责任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（三）验收标准：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1.符合国家及地区对污水综合排放标准要求。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2.公司综合保障部负责对污水处理运营托管的日常管理及监督。</w:t>
      </w:r>
    </w:p>
    <w:p>
      <w:pPr>
        <w:pStyle w:val="6"/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四、供应商资质</w:t>
      </w:r>
    </w:p>
    <w:p>
      <w:pPr>
        <w:pStyle w:val="6"/>
        <w:numPr>
          <w:ilvl w:val="0"/>
          <w:numId w:val="0"/>
        </w:numPr>
        <w:ind w:left="420" w:leftChars="0" w:firstLine="640" w:firstLineChars="200"/>
        <w:rPr>
          <w:rFonts w:hint="eastAsia" w:ascii="楷体_GB2312" w:hAnsi="微软雅黑" w:eastAsia="楷体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微软雅黑" w:eastAsia="楷体_GB2312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营业执照的经营范围包括环保工程的技术咨询、技术服务，环保咨询服务；环境保护专用设备销售；普通机械设备安装服务；专业设计服务等</w:t>
      </w:r>
    </w:p>
    <w:p>
      <w:pPr>
        <w:ind w:firstLine="640" w:firstLineChars="200"/>
        <w:rPr>
          <w:rFonts w:ascii="楷体_GB2312" w:hAnsi="微软雅黑" w:eastAsia="楷体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楷体_GB2312" w:hAnsi="微软雅黑" w:eastAsia="楷体_GB2312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br w:type="page"/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 污水站设备信息</w:t>
      </w:r>
    </w:p>
    <w:tbl>
      <w:tblPr>
        <w:tblStyle w:val="4"/>
        <w:tblW w:w="491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2539"/>
        <w:gridCol w:w="2285"/>
        <w:gridCol w:w="687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实物名称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安装位置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进水不锈钢格栅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B=5mm SS304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进水提升泵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CP52.2-65 潜污泵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溶气气浮装置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20t/h 处理能力，含溶气泵、刮泥机、混凝反应槽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调节池搅拌鼓风机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BK5006 4kw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生化曝气鼓风机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BK6005 7.5kw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出水排放泵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CP52.2-65 潜污泵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电磁流量计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LDE-100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加药装置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用于PAC、PAM、NaOH、CaCl2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二沉池出水板中心筒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SS304 DN400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气提排泥装置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DN63/DN25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污泥池提升泵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CP50.75-50 潜污泵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污泥浓缩池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φ1200*1500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浓缩污泥提升泵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G25-1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污泥脱水机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TECH-201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生物填料及支架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10#槽钢φ16螺纹钢支架 φ150@200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曝气管网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调节池及氧化池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氧化池曝气器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ABS+EPDM橡胶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除臭风机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4000m3/h 配套 玻璃钢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活性炭光氧离子除臭一体机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4000m3/h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低压动力柜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低压控制20回路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控制系统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PLC柜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49416598"/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49416598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33984556"/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33984556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FA"/>
    <w:rsid w:val="000201D4"/>
    <w:rsid w:val="000550E3"/>
    <w:rsid w:val="00061DD7"/>
    <w:rsid w:val="00073587"/>
    <w:rsid w:val="000849F7"/>
    <w:rsid w:val="00084E14"/>
    <w:rsid w:val="000C170A"/>
    <w:rsid w:val="000E2B02"/>
    <w:rsid w:val="0013221E"/>
    <w:rsid w:val="001348E1"/>
    <w:rsid w:val="00171287"/>
    <w:rsid w:val="00180EAA"/>
    <w:rsid w:val="001C5795"/>
    <w:rsid w:val="001D0FAB"/>
    <w:rsid w:val="00201FAD"/>
    <w:rsid w:val="00214170"/>
    <w:rsid w:val="00223D20"/>
    <w:rsid w:val="00226EAE"/>
    <w:rsid w:val="002327A9"/>
    <w:rsid w:val="002B2046"/>
    <w:rsid w:val="002E107B"/>
    <w:rsid w:val="00325204"/>
    <w:rsid w:val="00362239"/>
    <w:rsid w:val="00371A25"/>
    <w:rsid w:val="003D05AB"/>
    <w:rsid w:val="003D1E41"/>
    <w:rsid w:val="003F31BE"/>
    <w:rsid w:val="00400996"/>
    <w:rsid w:val="00406426"/>
    <w:rsid w:val="00406574"/>
    <w:rsid w:val="00407C9D"/>
    <w:rsid w:val="00407CA1"/>
    <w:rsid w:val="00436531"/>
    <w:rsid w:val="004614B0"/>
    <w:rsid w:val="004A5B5D"/>
    <w:rsid w:val="004C6A98"/>
    <w:rsid w:val="00514B39"/>
    <w:rsid w:val="00551F28"/>
    <w:rsid w:val="0056617B"/>
    <w:rsid w:val="005709EB"/>
    <w:rsid w:val="00594C13"/>
    <w:rsid w:val="005B08D1"/>
    <w:rsid w:val="005C3C14"/>
    <w:rsid w:val="006030BF"/>
    <w:rsid w:val="0062742F"/>
    <w:rsid w:val="006913D3"/>
    <w:rsid w:val="006C0293"/>
    <w:rsid w:val="006E092D"/>
    <w:rsid w:val="0070497D"/>
    <w:rsid w:val="007106B6"/>
    <w:rsid w:val="00724476"/>
    <w:rsid w:val="00731B46"/>
    <w:rsid w:val="00736CD6"/>
    <w:rsid w:val="00747086"/>
    <w:rsid w:val="00762A19"/>
    <w:rsid w:val="00794D8C"/>
    <w:rsid w:val="007A72FA"/>
    <w:rsid w:val="007B0156"/>
    <w:rsid w:val="007C11D9"/>
    <w:rsid w:val="00804D24"/>
    <w:rsid w:val="0085224A"/>
    <w:rsid w:val="008A28DF"/>
    <w:rsid w:val="008A7E4C"/>
    <w:rsid w:val="008C17EF"/>
    <w:rsid w:val="008D37C2"/>
    <w:rsid w:val="008F001A"/>
    <w:rsid w:val="0090411D"/>
    <w:rsid w:val="00971051"/>
    <w:rsid w:val="00981A68"/>
    <w:rsid w:val="00983571"/>
    <w:rsid w:val="009A49D2"/>
    <w:rsid w:val="009A6AC9"/>
    <w:rsid w:val="009B0260"/>
    <w:rsid w:val="009B317D"/>
    <w:rsid w:val="00A442D9"/>
    <w:rsid w:val="00A47B16"/>
    <w:rsid w:val="00A96368"/>
    <w:rsid w:val="00AB3BE8"/>
    <w:rsid w:val="00AF7503"/>
    <w:rsid w:val="00B72329"/>
    <w:rsid w:val="00B747B2"/>
    <w:rsid w:val="00B863E1"/>
    <w:rsid w:val="00BF7988"/>
    <w:rsid w:val="00C21429"/>
    <w:rsid w:val="00C6029A"/>
    <w:rsid w:val="00CA3B76"/>
    <w:rsid w:val="00CC1EA5"/>
    <w:rsid w:val="00CC4E45"/>
    <w:rsid w:val="00CD6B6B"/>
    <w:rsid w:val="00CE6F2E"/>
    <w:rsid w:val="00D07988"/>
    <w:rsid w:val="00D2321C"/>
    <w:rsid w:val="00D3022D"/>
    <w:rsid w:val="00D477D1"/>
    <w:rsid w:val="00D75620"/>
    <w:rsid w:val="00DE258D"/>
    <w:rsid w:val="00E0025A"/>
    <w:rsid w:val="00E17ADC"/>
    <w:rsid w:val="00E5322E"/>
    <w:rsid w:val="00E96F5B"/>
    <w:rsid w:val="00EC4A37"/>
    <w:rsid w:val="00EC621F"/>
    <w:rsid w:val="00ED5206"/>
    <w:rsid w:val="00F61A1A"/>
    <w:rsid w:val="00F9084B"/>
    <w:rsid w:val="01227D23"/>
    <w:rsid w:val="038D13F5"/>
    <w:rsid w:val="058F508B"/>
    <w:rsid w:val="06E2439E"/>
    <w:rsid w:val="0702412D"/>
    <w:rsid w:val="07100B34"/>
    <w:rsid w:val="0F415EE5"/>
    <w:rsid w:val="10DD4B78"/>
    <w:rsid w:val="1505401B"/>
    <w:rsid w:val="21757DAF"/>
    <w:rsid w:val="22334454"/>
    <w:rsid w:val="272E0C00"/>
    <w:rsid w:val="33B162B4"/>
    <w:rsid w:val="35B819A9"/>
    <w:rsid w:val="37B0491D"/>
    <w:rsid w:val="37B8021F"/>
    <w:rsid w:val="3D887DC2"/>
    <w:rsid w:val="41832CF4"/>
    <w:rsid w:val="439A3F93"/>
    <w:rsid w:val="455C1F46"/>
    <w:rsid w:val="48114BD5"/>
    <w:rsid w:val="482F58E1"/>
    <w:rsid w:val="4CDB7161"/>
    <w:rsid w:val="4DCC620D"/>
    <w:rsid w:val="4FDE438F"/>
    <w:rsid w:val="55A33EB3"/>
    <w:rsid w:val="56534AEE"/>
    <w:rsid w:val="5CAC0539"/>
    <w:rsid w:val="5DA2359A"/>
    <w:rsid w:val="5DFD1613"/>
    <w:rsid w:val="63326DAF"/>
    <w:rsid w:val="65112655"/>
    <w:rsid w:val="659662C8"/>
    <w:rsid w:val="68363B95"/>
    <w:rsid w:val="72C800B5"/>
    <w:rsid w:val="789E0BE7"/>
    <w:rsid w:val="7AAF55A0"/>
    <w:rsid w:val="7F531DC3"/>
    <w:rsid w:val="7FC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233</Words>
  <Characters>1331</Characters>
  <Lines>11</Lines>
  <Paragraphs>3</Paragraphs>
  <TotalTime>5</TotalTime>
  <ScaleCrop>false</ScaleCrop>
  <LinksUpToDate>false</LinksUpToDate>
  <CharactersWithSpaces>1561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2019-09-04T07:33:00Z</dcterms:created>
  <dc:creator>Wang, Frankie</dc:creator>
  <cp:lastModifiedBy>朱燕萍</cp:lastModifiedBy>
  <cp:lastPrinted>2024-01-29T06:22:00Z</cp:lastPrinted>
  <dcterms:modified xsi:type="dcterms:W3CDTF">2024-03-22T01:10:14Z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4D4287F2463D40AB9D9C88C3E4E31AA4</vt:lpwstr>
  </property>
</Properties>
</file>