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仿宋" w:hAnsi="仿宋" w:eastAsia="仿宋" w:cs="仿宋"/>
          <w:szCs w:val="28"/>
        </w:rPr>
      </w:pPr>
      <w:r>
        <w:rPr>
          <w:rFonts w:hint="eastAsia" w:ascii="仿宋" w:hAnsi="仿宋" w:eastAsia="仿宋" w:cs="仿宋"/>
          <w:szCs w:val="28"/>
        </w:rPr>
        <w:t>国航甚高频接收机设备</w:t>
      </w:r>
    </w:p>
    <w:p>
      <w:pPr>
        <w:pStyle w:val="5"/>
        <w:rPr>
          <w:rFonts w:hint="eastAsia" w:ascii="仿宋" w:hAnsi="仿宋" w:eastAsia="仿宋" w:cs="仿宋"/>
        </w:rPr>
      </w:pPr>
      <w:r>
        <w:rPr>
          <w:rFonts w:hint="eastAsia" w:ascii="仿宋" w:hAnsi="仿宋" w:eastAsia="仿宋" w:cs="仿宋"/>
        </w:rPr>
        <w:t>采购说明</w:t>
      </w:r>
    </w:p>
    <w:p>
      <w:pPr>
        <w:rPr>
          <w:rFonts w:hint="eastAsia" w:ascii="仿宋_GB2312" w:hAnsi="仿宋_GB2312" w:eastAsia="仿宋_GB2312" w:cs="仿宋_GB2312"/>
          <w:b/>
          <w:bCs/>
          <w:sz w:val="28"/>
          <w:szCs w:val="32"/>
          <w:lang w:eastAsia="zh-CN"/>
        </w:rPr>
      </w:pPr>
      <w:r>
        <w:rPr>
          <w:rFonts w:hint="eastAsia" w:ascii="仿宋_GB2312" w:hAnsi="仿宋_GB2312" w:eastAsia="仿宋_GB2312" w:cs="仿宋_GB2312"/>
          <w:b/>
          <w:bCs/>
          <w:sz w:val="28"/>
          <w:szCs w:val="32"/>
          <w:lang w:eastAsia="zh-CN"/>
        </w:rPr>
        <w:t>一、技术需求</w:t>
      </w:r>
    </w:p>
    <w:p>
      <w:pPr>
        <w:spacing w:line="360" w:lineRule="auto"/>
        <w:ind w:left="425"/>
        <w:rPr>
          <w:rFonts w:hint="eastAsia" w:ascii="仿宋" w:hAnsi="仿宋" w:eastAsia="仿宋" w:cs="仿宋"/>
          <w:b/>
          <w:bCs/>
          <w:sz w:val="24"/>
        </w:rPr>
      </w:pPr>
      <w:r>
        <w:rPr>
          <w:rFonts w:hint="eastAsia" w:ascii="仿宋" w:hAnsi="仿宋" w:eastAsia="仿宋" w:cs="仿宋"/>
          <w:b/>
          <w:bCs/>
          <w:sz w:val="24"/>
          <w:lang w:val="en-US" w:eastAsia="zh-CN"/>
        </w:rPr>
        <w:t>1.</w:t>
      </w:r>
      <w:r>
        <w:rPr>
          <w:rFonts w:hint="eastAsia" w:ascii="仿宋" w:hAnsi="仿宋" w:eastAsia="仿宋" w:cs="仿宋"/>
          <w:b/>
          <w:bCs/>
          <w:sz w:val="24"/>
        </w:rPr>
        <w:t>设备采购列表</w:t>
      </w:r>
    </w:p>
    <w:p>
      <w:pPr>
        <w:rPr>
          <w:rFonts w:hint="eastAsia"/>
        </w:rPr>
      </w:pPr>
    </w:p>
    <w:tbl>
      <w:tblPr>
        <w:tblStyle w:val="7"/>
        <w:tblW w:w="8522" w:type="dxa"/>
        <w:tblInd w:w="0" w:type="dxa"/>
        <w:tblLayout w:type="fixed"/>
        <w:tblCellMar>
          <w:top w:w="0" w:type="dxa"/>
          <w:left w:w="108" w:type="dxa"/>
          <w:bottom w:w="0" w:type="dxa"/>
          <w:right w:w="108" w:type="dxa"/>
        </w:tblCellMar>
      </w:tblPr>
      <w:tblGrid>
        <w:gridCol w:w="669"/>
        <w:gridCol w:w="2146"/>
        <w:gridCol w:w="3999"/>
        <w:gridCol w:w="868"/>
        <w:gridCol w:w="840"/>
      </w:tblGrid>
      <w:tr>
        <w:tblPrEx>
          <w:tblLayout w:type="fixed"/>
          <w:tblCellMar>
            <w:top w:w="0" w:type="dxa"/>
            <w:left w:w="108" w:type="dxa"/>
            <w:bottom w:w="0" w:type="dxa"/>
            <w:right w:w="108" w:type="dxa"/>
          </w:tblCellMar>
        </w:tblPrEx>
        <w:trPr>
          <w:trHeight w:val="330" w:hRule="atLeast"/>
        </w:trPr>
        <w:tc>
          <w:tcPr>
            <w:tcW w:w="66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序号</w:t>
            </w:r>
          </w:p>
        </w:tc>
        <w:tc>
          <w:tcPr>
            <w:tcW w:w="2146"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设备名称</w:t>
            </w:r>
          </w:p>
        </w:tc>
        <w:tc>
          <w:tcPr>
            <w:tcW w:w="399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功能说明</w:t>
            </w:r>
          </w:p>
        </w:tc>
        <w:tc>
          <w:tcPr>
            <w:tcW w:w="86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数量</w:t>
            </w:r>
          </w:p>
        </w:tc>
        <w:tc>
          <w:tcPr>
            <w:tcW w:w="84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单位</w:t>
            </w:r>
          </w:p>
        </w:tc>
      </w:tr>
      <w:tr>
        <w:tblPrEx>
          <w:tblLayout w:type="fixed"/>
          <w:tblCellMar>
            <w:top w:w="0" w:type="dxa"/>
            <w:left w:w="108" w:type="dxa"/>
            <w:bottom w:w="0" w:type="dxa"/>
            <w:right w:w="108" w:type="dxa"/>
          </w:tblCellMar>
        </w:tblPrEx>
        <w:trPr>
          <w:trHeight w:val="402" w:hRule="atLeast"/>
        </w:trPr>
        <w:tc>
          <w:tcPr>
            <w:tcW w:w="669"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2146"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甚高频接收机</w:t>
            </w:r>
          </w:p>
        </w:tc>
        <w:tc>
          <w:tcPr>
            <w:tcW w:w="3999"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kern w:val="0"/>
                <w:sz w:val="20"/>
                <w:szCs w:val="20"/>
              </w:rPr>
            </w:pPr>
            <w:r>
              <w:rPr>
                <w:rFonts w:hint="eastAsia" w:ascii="仿宋" w:hAnsi="仿宋" w:eastAsia="仿宋" w:cs="仿宋"/>
                <w:kern w:val="0"/>
                <w:sz w:val="20"/>
                <w:szCs w:val="20"/>
              </w:rPr>
              <w:t>监听</w:t>
            </w:r>
            <w:r>
              <w:rPr>
                <w:rFonts w:ascii="仿宋" w:hAnsi="仿宋" w:eastAsia="仿宋" w:cs="仿宋"/>
                <w:kern w:val="0"/>
                <w:sz w:val="20"/>
                <w:szCs w:val="20"/>
              </w:rPr>
              <w:t>空管频率</w:t>
            </w:r>
          </w:p>
        </w:tc>
        <w:tc>
          <w:tcPr>
            <w:tcW w:w="868"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1</w:t>
            </w:r>
            <w:r>
              <w:rPr>
                <w:rFonts w:hint="eastAsia" w:ascii="仿宋" w:hAnsi="仿宋" w:eastAsia="仿宋" w:cs="仿宋"/>
                <w:color w:val="000000"/>
                <w:kern w:val="0"/>
                <w:sz w:val="18"/>
                <w:szCs w:val="18"/>
                <w:lang w:val="en-US" w:eastAsia="zh-CN"/>
              </w:rPr>
              <w:t>1</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台</w:t>
            </w:r>
          </w:p>
        </w:tc>
      </w:tr>
    </w:tbl>
    <w:p>
      <w:pPr>
        <w:rPr>
          <w:rFonts w:hint="eastAsia" w:ascii="仿宋_GB2312" w:eastAsia="仿宋_GB2312"/>
          <w:b/>
          <w:bCs/>
          <w:sz w:val="24"/>
        </w:rPr>
      </w:pPr>
    </w:p>
    <w:p>
      <w:pPr>
        <w:spacing w:line="360" w:lineRule="auto"/>
        <w:ind w:left="425"/>
        <w:rPr>
          <w:rFonts w:hint="eastAsia" w:ascii="仿宋" w:hAnsi="仿宋" w:eastAsia="仿宋" w:cs="仿宋"/>
          <w:b/>
          <w:bCs/>
          <w:sz w:val="24"/>
          <w:lang w:val="en-US" w:eastAsia="zh-CN"/>
        </w:rPr>
      </w:pPr>
      <w:r>
        <w:rPr>
          <w:rFonts w:hint="eastAsia" w:ascii="仿宋" w:hAnsi="仿宋" w:eastAsia="仿宋" w:cs="仿宋"/>
          <w:b/>
          <w:bCs/>
          <w:sz w:val="24"/>
          <w:lang w:val="en-US" w:eastAsia="zh-CN"/>
        </w:rPr>
        <w:t>2.硬件配置清单</w:t>
      </w:r>
    </w:p>
    <w:p>
      <w:pPr>
        <w:ind w:firstLine="480" w:firstLineChars="200"/>
        <w:rPr>
          <w:rFonts w:hint="eastAsia" w:ascii="仿宋_GB2312" w:eastAsia="仿宋_GB2312"/>
          <w:sz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75"/>
        <w:gridCol w:w="2127"/>
        <w:gridCol w:w="3939"/>
        <w:gridCol w:w="893"/>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330" w:hRule="atLeast"/>
        </w:trPr>
        <w:tc>
          <w:tcPr>
            <w:tcW w:w="675" w:type="dxa"/>
            <w:shd w:val="clear" w:color="auto" w:fill="FFFFFF"/>
            <w:vAlign w:val="top"/>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序号</w:t>
            </w:r>
          </w:p>
        </w:tc>
        <w:tc>
          <w:tcPr>
            <w:tcW w:w="2127" w:type="dxa"/>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设备名称</w:t>
            </w:r>
          </w:p>
        </w:tc>
        <w:tc>
          <w:tcPr>
            <w:tcW w:w="3939" w:type="dxa"/>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配置要求</w:t>
            </w:r>
          </w:p>
        </w:tc>
        <w:tc>
          <w:tcPr>
            <w:tcW w:w="893" w:type="dxa"/>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数量</w:t>
            </w:r>
          </w:p>
        </w:tc>
        <w:tc>
          <w:tcPr>
            <w:tcW w:w="888" w:type="dxa"/>
            <w:shd w:val="clear" w:color="auto" w:fill="FFFFFF"/>
            <w:vAlign w:val="center"/>
          </w:tcPr>
          <w:p>
            <w:pPr>
              <w:widowControl/>
              <w:jc w:val="center"/>
              <w:rPr>
                <w:rFonts w:hint="eastAsia" w:ascii="仿宋" w:hAnsi="仿宋" w:eastAsia="仿宋" w:cs="仿宋"/>
                <w:b/>
                <w:bCs/>
                <w:kern w:val="0"/>
                <w:sz w:val="20"/>
                <w:szCs w:val="20"/>
              </w:rPr>
            </w:pPr>
            <w:r>
              <w:rPr>
                <w:rFonts w:hint="eastAsia" w:ascii="仿宋" w:hAnsi="仿宋" w:eastAsia="仿宋" w:cs="仿宋"/>
                <w:b/>
                <w:bCs/>
                <w:kern w:val="0"/>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75" w:type="dxa"/>
            <w:shd w:val="clear" w:color="auto" w:fill="FFFFFF"/>
            <w:vAlign w:val="top"/>
          </w:tcPr>
          <w:p>
            <w:pPr>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w:t>
            </w:r>
          </w:p>
        </w:tc>
        <w:tc>
          <w:tcPr>
            <w:tcW w:w="2127" w:type="dxa"/>
            <w:shd w:val="clear" w:color="auto" w:fill="FFFFFF"/>
            <w:vAlign w:val="center"/>
          </w:tcPr>
          <w:p>
            <w:pPr>
              <w:rPr>
                <w:rFonts w:hint="eastAsia" w:ascii="仿宋" w:hAnsi="仿宋" w:eastAsia="仿宋" w:cs="仿宋"/>
                <w:kern w:val="0"/>
                <w:sz w:val="20"/>
                <w:szCs w:val="20"/>
              </w:rPr>
            </w:pPr>
            <w:r>
              <w:rPr>
                <w:rFonts w:hint="eastAsia" w:ascii="仿宋" w:hAnsi="仿宋" w:eastAsia="仿宋" w:cs="仿宋"/>
                <w:color w:val="000000"/>
                <w:kern w:val="0"/>
                <w:sz w:val="18"/>
                <w:szCs w:val="18"/>
              </w:rPr>
              <w:t>甚高频接收机</w:t>
            </w:r>
          </w:p>
        </w:tc>
        <w:tc>
          <w:tcPr>
            <w:tcW w:w="3939" w:type="dxa"/>
            <w:shd w:val="clear" w:color="auto" w:fill="FFFFFF"/>
            <w:vAlign w:val="center"/>
          </w:tcPr>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接收</w:t>
            </w:r>
            <w:r>
              <w:rPr>
                <w:rFonts w:ascii="仿宋" w:hAnsi="仿宋" w:eastAsia="仿宋" w:cs="仿宋"/>
                <w:kern w:val="0"/>
                <w:sz w:val="20"/>
                <w:szCs w:val="20"/>
              </w:rPr>
              <w:t>频率范围</w:t>
            </w:r>
            <w:r>
              <w:rPr>
                <w:rFonts w:hint="eastAsia" w:ascii="仿宋" w:hAnsi="仿宋" w:eastAsia="仿宋" w:cs="仿宋"/>
                <w:kern w:val="0"/>
                <w:sz w:val="20"/>
                <w:szCs w:val="20"/>
              </w:rPr>
              <w:t>118</w:t>
            </w:r>
            <w:r>
              <w:rPr>
                <w:rFonts w:ascii="仿宋" w:hAnsi="仿宋" w:eastAsia="仿宋" w:cs="仿宋"/>
                <w:kern w:val="0"/>
                <w:sz w:val="20"/>
                <w:szCs w:val="20"/>
              </w:rPr>
              <w:t>MHz~140MHz</w:t>
            </w:r>
          </w:p>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频道</w:t>
            </w:r>
            <w:r>
              <w:rPr>
                <w:rFonts w:ascii="仿宋" w:hAnsi="仿宋" w:eastAsia="仿宋" w:cs="仿宋"/>
                <w:kern w:val="0"/>
                <w:sz w:val="20"/>
                <w:szCs w:val="20"/>
              </w:rPr>
              <w:t>间隔25 kHz, 8.33 kHz</w:t>
            </w:r>
          </w:p>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接收灵敏度</w:t>
            </w:r>
            <w:r>
              <w:rPr>
                <w:rFonts w:ascii="仿宋" w:hAnsi="仿宋" w:eastAsia="仿宋" w:cs="仿宋"/>
                <w:kern w:val="0"/>
                <w:sz w:val="20"/>
                <w:szCs w:val="20"/>
              </w:rPr>
              <w:t>≤ –107 dBm</w:t>
            </w:r>
          </w:p>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响应</w:t>
            </w:r>
            <w:r>
              <w:rPr>
                <w:rFonts w:ascii="仿宋" w:hAnsi="仿宋" w:eastAsia="仿宋" w:cs="仿宋"/>
                <w:kern w:val="0"/>
                <w:sz w:val="20"/>
                <w:szCs w:val="20"/>
              </w:rPr>
              <w:t>时间</w:t>
            </w:r>
            <w:r>
              <w:rPr>
                <w:rFonts w:hint="eastAsia" w:ascii="仿宋" w:hAnsi="仿宋" w:eastAsia="仿宋" w:cs="仿宋"/>
                <w:kern w:val="0"/>
                <w:sz w:val="20"/>
                <w:szCs w:val="20"/>
              </w:rPr>
              <w:t xml:space="preserve"> </w:t>
            </w:r>
            <w:r>
              <w:rPr>
                <w:rFonts w:ascii="仿宋" w:hAnsi="仿宋" w:eastAsia="仿宋" w:cs="仿宋"/>
                <w:kern w:val="0"/>
                <w:sz w:val="20"/>
                <w:szCs w:val="20"/>
              </w:rPr>
              <w:t>≤ 30 ms</w:t>
            </w:r>
          </w:p>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支付数字</w:t>
            </w:r>
            <w:r>
              <w:rPr>
                <w:rFonts w:ascii="仿宋" w:hAnsi="仿宋" w:eastAsia="仿宋" w:cs="仿宋"/>
                <w:kern w:val="0"/>
                <w:sz w:val="20"/>
                <w:szCs w:val="20"/>
              </w:rPr>
              <w:t>语音接口</w:t>
            </w:r>
            <w:r>
              <w:rPr>
                <w:rFonts w:hint="eastAsia" w:ascii="仿宋" w:hAnsi="仿宋" w:eastAsia="仿宋" w:cs="仿宋"/>
                <w:kern w:val="0"/>
                <w:sz w:val="20"/>
                <w:szCs w:val="20"/>
              </w:rPr>
              <w:t>（</w:t>
            </w:r>
            <w:r>
              <w:rPr>
                <w:rFonts w:ascii="仿宋" w:hAnsi="仿宋" w:eastAsia="仿宋" w:cs="仿宋"/>
                <w:kern w:val="0"/>
                <w:sz w:val="20"/>
                <w:szCs w:val="20"/>
              </w:rPr>
              <w:t>VOIP</w:t>
            </w:r>
            <w:r>
              <w:rPr>
                <w:rFonts w:hint="eastAsia" w:ascii="仿宋" w:hAnsi="仿宋" w:eastAsia="仿宋" w:cs="仿宋"/>
                <w:kern w:val="0"/>
                <w:sz w:val="20"/>
                <w:szCs w:val="20"/>
              </w:rPr>
              <w:t>）</w:t>
            </w:r>
          </w:p>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VOI</w:t>
            </w:r>
            <w:r>
              <w:rPr>
                <w:rFonts w:ascii="仿宋" w:hAnsi="仿宋" w:eastAsia="仿宋" w:cs="仿宋"/>
                <w:kern w:val="0"/>
                <w:sz w:val="20"/>
                <w:szCs w:val="20"/>
              </w:rPr>
              <w:t>P符合EUROCAE ED137B</w:t>
            </w:r>
            <w:r>
              <w:rPr>
                <w:rFonts w:hint="eastAsia" w:ascii="仿宋" w:hAnsi="仿宋" w:eastAsia="仿宋" w:cs="仿宋"/>
                <w:kern w:val="0"/>
                <w:sz w:val="20"/>
                <w:szCs w:val="20"/>
              </w:rPr>
              <w:t>标准第一部分</w:t>
            </w:r>
          </w:p>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音频</w:t>
            </w:r>
            <w:r>
              <w:rPr>
                <w:rFonts w:ascii="仿宋" w:hAnsi="仿宋" w:eastAsia="仿宋" w:cs="仿宋"/>
                <w:kern w:val="0"/>
                <w:sz w:val="20"/>
                <w:szCs w:val="20"/>
              </w:rPr>
              <w:t>编码采用ITU-T G.711</w:t>
            </w:r>
          </w:p>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可接入国航</w:t>
            </w:r>
            <w:r>
              <w:rPr>
                <w:rFonts w:ascii="仿宋" w:hAnsi="仿宋" w:eastAsia="仿宋" w:cs="仿宋"/>
                <w:kern w:val="0"/>
                <w:sz w:val="20"/>
                <w:szCs w:val="20"/>
              </w:rPr>
              <w:t xml:space="preserve">无线电通讯系统（R&amp;S VCS 4G） </w:t>
            </w:r>
          </w:p>
          <w:p>
            <w:pPr>
              <w:pStyle w:val="12"/>
              <w:widowControl/>
              <w:numPr>
                <w:ilvl w:val="0"/>
                <w:numId w:val="1"/>
              </w:numPr>
              <w:ind w:firstLineChars="0"/>
              <w:jc w:val="left"/>
              <w:rPr>
                <w:rFonts w:ascii="仿宋" w:hAnsi="仿宋" w:eastAsia="仿宋" w:cs="仿宋"/>
                <w:kern w:val="0"/>
                <w:sz w:val="20"/>
                <w:szCs w:val="20"/>
              </w:rPr>
            </w:pPr>
            <w:r>
              <w:rPr>
                <w:rFonts w:hint="eastAsia" w:ascii="仿宋" w:hAnsi="仿宋" w:eastAsia="仿宋" w:cs="仿宋"/>
                <w:kern w:val="0"/>
                <w:sz w:val="20"/>
                <w:szCs w:val="20"/>
              </w:rPr>
              <w:t>MTBF（平均故障</w:t>
            </w:r>
            <w:r>
              <w:rPr>
                <w:rFonts w:ascii="仿宋" w:hAnsi="仿宋" w:eastAsia="仿宋" w:cs="仿宋"/>
                <w:kern w:val="0"/>
                <w:sz w:val="20"/>
                <w:szCs w:val="20"/>
              </w:rPr>
              <w:t>时间</w:t>
            </w:r>
            <w:r>
              <w:rPr>
                <w:rFonts w:hint="eastAsia" w:ascii="仿宋" w:hAnsi="仿宋" w:eastAsia="仿宋" w:cs="仿宋"/>
                <w:kern w:val="0"/>
                <w:sz w:val="20"/>
                <w:szCs w:val="20"/>
              </w:rPr>
              <w:t>）</w:t>
            </w:r>
            <w:r>
              <w:rPr>
                <w:rFonts w:ascii="仿宋" w:hAnsi="仿宋" w:eastAsia="仿宋" w:cs="仿宋"/>
                <w:kern w:val="0"/>
                <w:sz w:val="20"/>
                <w:szCs w:val="20"/>
              </w:rPr>
              <w:t xml:space="preserve"> </w:t>
            </w:r>
            <w:r>
              <w:rPr>
                <w:rFonts w:hint="eastAsia" w:ascii="仿宋" w:hAnsi="仿宋" w:eastAsia="仿宋" w:cs="仿宋"/>
                <w:kern w:val="0"/>
                <w:sz w:val="20"/>
                <w:szCs w:val="20"/>
              </w:rPr>
              <w:t>不小于45000小时</w:t>
            </w:r>
          </w:p>
          <w:p>
            <w:pPr>
              <w:pStyle w:val="12"/>
              <w:widowControl/>
              <w:numPr>
                <w:ilvl w:val="0"/>
                <w:numId w:val="1"/>
              </w:numPr>
              <w:ind w:firstLineChars="0"/>
              <w:jc w:val="left"/>
              <w:rPr>
                <w:rFonts w:hint="eastAsia" w:ascii="仿宋" w:hAnsi="仿宋" w:eastAsia="仿宋" w:cs="仿宋"/>
                <w:kern w:val="0"/>
                <w:sz w:val="20"/>
                <w:szCs w:val="20"/>
              </w:rPr>
            </w:pPr>
            <w:r>
              <w:rPr>
                <w:rFonts w:hint="eastAsia" w:ascii="仿宋" w:hAnsi="仿宋" w:eastAsia="仿宋" w:cs="仿宋"/>
                <w:kern w:val="0"/>
                <w:sz w:val="20"/>
                <w:szCs w:val="20"/>
              </w:rPr>
              <w:t>MTTR（平均</w:t>
            </w:r>
            <w:r>
              <w:rPr>
                <w:rFonts w:ascii="仿宋" w:hAnsi="仿宋" w:eastAsia="仿宋" w:cs="仿宋"/>
                <w:kern w:val="0"/>
                <w:sz w:val="20"/>
                <w:szCs w:val="20"/>
              </w:rPr>
              <w:t>恢复时间</w:t>
            </w:r>
            <w:r>
              <w:rPr>
                <w:rFonts w:hint="eastAsia" w:ascii="仿宋" w:hAnsi="仿宋" w:eastAsia="仿宋" w:cs="仿宋"/>
                <w:kern w:val="0"/>
                <w:sz w:val="20"/>
                <w:szCs w:val="20"/>
              </w:rPr>
              <w:t>）</w:t>
            </w:r>
            <w:r>
              <w:rPr>
                <w:rFonts w:ascii="仿宋" w:hAnsi="仿宋" w:eastAsia="仿宋" w:cs="仿宋"/>
                <w:kern w:val="0"/>
                <w:sz w:val="20"/>
                <w:szCs w:val="20"/>
              </w:rPr>
              <w:t>不大于</w:t>
            </w:r>
            <w:r>
              <w:rPr>
                <w:rFonts w:hint="eastAsia" w:ascii="仿宋" w:hAnsi="仿宋" w:eastAsia="仿宋" w:cs="仿宋"/>
                <w:kern w:val="0"/>
                <w:sz w:val="20"/>
                <w:szCs w:val="20"/>
              </w:rPr>
              <w:t>15分钟</w:t>
            </w:r>
          </w:p>
        </w:tc>
        <w:tc>
          <w:tcPr>
            <w:tcW w:w="893" w:type="dxa"/>
            <w:shd w:val="clear" w:color="auto" w:fill="FFFFFF"/>
            <w:vAlign w:val="center"/>
          </w:tcPr>
          <w:p>
            <w:pPr>
              <w:widowControl/>
              <w:jc w:val="center"/>
              <w:rPr>
                <w:rFonts w:hint="eastAsia" w:ascii="仿宋" w:hAnsi="仿宋" w:eastAsia="仿宋" w:cs="仿宋"/>
                <w:kern w:val="0"/>
                <w:sz w:val="20"/>
                <w:szCs w:val="20"/>
                <w:lang w:eastAsia="zh-CN"/>
              </w:rPr>
            </w:pPr>
            <w:r>
              <w:rPr>
                <w:rFonts w:hint="eastAsia" w:ascii="仿宋" w:hAnsi="仿宋" w:eastAsia="仿宋" w:cs="仿宋"/>
                <w:kern w:val="0"/>
                <w:sz w:val="20"/>
                <w:szCs w:val="20"/>
              </w:rPr>
              <w:t>1</w:t>
            </w:r>
            <w:r>
              <w:rPr>
                <w:rFonts w:hint="eastAsia" w:ascii="仿宋" w:hAnsi="仿宋" w:eastAsia="仿宋" w:cs="仿宋"/>
                <w:kern w:val="0"/>
                <w:sz w:val="20"/>
                <w:szCs w:val="20"/>
                <w:lang w:val="en-US" w:eastAsia="zh-CN"/>
              </w:rPr>
              <w:t>1</w:t>
            </w:r>
          </w:p>
        </w:tc>
        <w:tc>
          <w:tcPr>
            <w:tcW w:w="888" w:type="dxa"/>
            <w:shd w:val="clear" w:color="auto" w:fill="FFFFFF"/>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台</w:t>
            </w:r>
          </w:p>
        </w:tc>
      </w:tr>
    </w:tbl>
    <w:p>
      <w:pPr>
        <w:spacing w:line="360" w:lineRule="auto"/>
        <w:ind w:left="425"/>
        <w:rPr>
          <w:rFonts w:hint="eastAsia" w:ascii="仿宋" w:hAnsi="仿宋" w:eastAsia="仿宋" w:cs="仿宋"/>
          <w:sz w:val="24"/>
          <w:lang w:val="en-US" w:eastAsia="zh-CN"/>
        </w:rPr>
      </w:pPr>
    </w:p>
    <w:p>
      <w:pPr>
        <w:spacing w:line="360" w:lineRule="auto"/>
        <w:ind w:left="425"/>
        <w:rPr>
          <w:rFonts w:hint="eastAsia" w:ascii="仿宋" w:hAnsi="仿宋" w:eastAsia="仿宋" w:cs="仿宋"/>
          <w:b/>
          <w:bCs/>
          <w:sz w:val="24"/>
          <w:lang w:val="en-US" w:eastAsia="zh-CN"/>
        </w:rPr>
      </w:pPr>
      <w:r>
        <w:rPr>
          <w:rFonts w:hint="eastAsia" w:ascii="仿宋" w:hAnsi="仿宋" w:eastAsia="仿宋" w:cs="仿宋"/>
          <w:b/>
          <w:bCs/>
          <w:sz w:val="24"/>
          <w:lang w:val="en-US" w:eastAsia="zh-CN"/>
        </w:rPr>
        <w:t>3.免保期服务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3.1</w:t>
      </w:r>
      <w:r>
        <w:rPr>
          <w:rFonts w:hint="eastAsia" w:ascii="仿宋" w:hAnsi="仿宋" w:eastAsia="仿宋" w:cs="仿宋"/>
          <w:sz w:val="24"/>
        </w:rPr>
        <w:t>实施服务内容及要求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本系统通过最终验收并签字接收之日起免费保修期为1年。</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免费保修期内需提供：备件更换、电话咨询、软件升级、定期巡检、现场/远程技术支持、现场支持服务等。</w:t>
      </w:r>
    </w:p>
    <w:p>
      <w:pPr>
        <w:spacing w:line="360" w:lineRule="auto"/>
        <w:ind w:left="420"/>
        <w:rPr>
          <w:rFonts w:hint="eastAsia" w:ascii="仿宋" w:hAnsi="仿宋" w:eastAsia="仿宋" w:cs="仿宋"/>
          <w:sz w:val="24"/>
        </w:rPr>
      </w:pPr>
      <w:r>
        <w:rPr>
          <w:rFonts w:hint="eastAsia" w:ascii="仿宋" w:hAnsi="仿宋" w:eastAsia="仿宋" w:cs="仿宋"/>
          <w:sz w:val="24"/>
        </w:rPr>
        <w:t>3.1</w:t>
      </w:r>
      <w:r>
        <w:rPr>
          <w:rFonts w:hint="eastAsia" w:ascii="仿宋" w:hAnsi="仿宋" w:eastAsia="仿宋" w:cs="仿宋"/>
          <w:sz w:val="24"/>
          <w:lang w:val="en-US" w:eastAsia="zh-CN"/>
        </w:rPr>
        <w:t>.1</w:t>
      </w:r>
      <w:r>
        <w:rPr>
          <w:rFonts w:hint="eastAsia" w:ascii="仿宋" w:hAnsi="仿宋" w:eastAsia="仿宋" w:cs="仿宋"/>
          <w:sz w:val="24"/>
        </w:rPr>
        <w:t>备件更换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保修期内，供应商负责对其提供的产品进行现场维修与维护及更换零部件，不收取额外费用。</w:t>
      </w:r>
    </w:p>
    <w:p>
      <w:pPr>
        <w:spacing w:line="360" w:lineRule="auto"/>
        <w:ind w:left="420"/>
        <w:rPr>
          <w:rFonts w:hint="eastAsia" w:ascii="仿宋" w:hAnsi="仿宋" w:eastAsia="仿宋" w:cs="仿宋"/>
          <w:sz w:val="24"/>
        </w:rPr>
      </w:pPr>
      <w:r>
        <w:rPr>
          <w:rFonts w:hint="eastAsia" w:ascii="仿宋" w:hAnsi="仿宋" w:eastAsia="仿宋" w:cs="仿宋"/>
          <w:sz w:val="24"/>
        </w:rPr>
        <w:t>3.1</w:t>
      </w:r>
      <w:r>
        <w:rPr>
          <w:rFonts w:hint="eastAsia" w:ascii="仿宋" w:hAnsi="仿宋" w:eastAsia="仿宋" w:cs="仿宋"/>
          <w:sz w:val="24"/>
          <w:lang w:val="en-US" w:eastAsia="zh-CN"/>
        </w:rPr>
        <w:t>.</w:t>
      </w:r>
      <w:r>
        <w:rPr>
          <w:rFonts w:hint="eastAsia" w:ascii="仿宋" w:hAnsi="仿宋" w:eastAsia="仿宋" w:cs="仿宋"/>
          <w:sz w:val="24"/>
        </w:rPr>
        <w:t>2电话咨询服务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供应商提供7×24小时技术援助电话，解答在系统使用中遇到的问题，及时提出解决问题的建议和操作方法。供应商应提供24小时热线电话支持、E-mail支持和传真支持。</w:t>
      </w:r>
    </w:p>
    <w:p>
      <w:pPr>
        <w:spacing w:line="360" w:lineRule="auto"/>
        <w:ind w:left="420"/>
        <w:rPr>
          <w:rFonts w:hint="eastAsia" w:ascii="仿宋" w:hAnsi="仿宋" w:eastAsia="仿宋" w:cs="仿宋"/>
          <w:sz w:val="24"/>
        </w:rPr>
      </w:pPr>
      <w:r>
        <w:rPr>
          <w:rFonts w:hint="eastAsia" w:ascii="仿宋" w:hAnsi="仿宋" w:eastAsia="仿宋" w:cs="仿宋"/>
          <w:sz w:val="24"/>
        </w:rPr>
        <w:t>3.1</w:t>
      </w:r>
      <w:r>
        <w:rPr>
          <w:rFonts w:hint="eastAsia" w:ascii="仿宋" w:hAnsi="仿宋" w:eastAsia="仿宋" w:cs="仿宋"/>
          <w:sz w:val="24"/>
          <w:lang w:val="en-US" w:eastAsia="zh-CN"/>
        </w:rPr>
        <w:t>.</w:t>
      </w:r>
      <w:r>
        <w:rPr>
          <w:rFonts w:hint="eastAsia" w:ascii="仿宋" w:hAnsi="仿宋" w:eastAsia="仿宋" w:cs="仿宋"/>
          <w:sz w:val="24"/>
        </w:rPr>
        <w:t>3故障响应</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供应商所提供的软硬件系统发生故障后，接到报修或咨询后5分钟内给予响应，三、四级故障4 小时以内、一</w:t>
      </w:r>
      <w:r>
        <w:rPr>
          <w:rFonts w:ascii="仿宋" w:hAnsi="仿宋" w:eastAsia="仿宋" w:cs="仿宋"/>
          <w:sz w:val="24"/>
        </w:rPr>
        <w:t>、二级</w:t>
      </w:r>
      <w:r>
        <w:rPr>
          <w:rFonts w:hint="eastAsia" w:ascii="仿宋" w:hAnsi="仿宋" w:eastAsia="仿宋" w:cs="仿宋"/>
          <w:sz w:val="24"/>
        </w:rPr>
        <w:t>故障2小时以内赶到现场。</w:t>
      </w:r>
    </w:p>
    <w:p>
      <w:pPr>
        <w:spacing w:line="360" w:lineRule="auto"/>
        <w:ind w:left="420"/>
        <w:rPr>
          <w:rFonts w:hint="eastAsia" w:ascii="仿宋" w:hAnsi="仿宋" w:eastAsia="仿宋" w:cs="仿宋"/>
          <w:sz w:val="24"/>
        </w:rPr>
      </w:pPr>
      <w:r>
        <w:rPr>
          <w:rFonts w:hint="eastAsia" w:ascii="仿宋" w:hAnsi="仿宋" w:eastAsia="仿宋" w:cs="仿宋"/>
          <w:sz w:val="24"/>
        </w:rPr>
        <w:t>3.1</w:t>
      </w:r>
      <w:r>
        <w:rPr>
          <w:rFonts w:hint="eastAsia" w:ascii="仿宋" w:hAnsi="仿宋" w:eastAsia="仿宋" w:cs="仿宋"/>
          <w:sz w:val="24"/>
          <w:lang w:val="en-US" w:eastAsia="zh-CN"/>
        </w:rPr>
        <w:t>.</w:t>
      </w:r>
      <w:r>
        <w:rPr>
          <w:rFonts w:hint="eastAsia" w:ascii="仿宋" w:hAnsi="仿宋" w:eastAsia="仿宋" w:cs="仿宋"/>
          <w:sz w:val="24"/>
        </w:rPr>
        <w:t>4软件升级</w:t>
      </w:r>
    </w:p>
    <w:p>
      <w:pPr>
        <w:spacing w:line="360" w:lineRule="auto"/>
        <w:ind w:left="425"/>
        <w:rPr>
          <w:rFonts w:hint="eastAsia" w:ascii="仿宋" w:hAnsi="仿宋" w:eastAsia="仿宋" w:cs="仿宋"/>
          <w:sz w:val="24"/>
        </w:rPr>
      </w:pPr>
      <w:r>
        <w:rPr>
          <w:rFonts w:hint="eastAsia" w:ascii="仿宋" w:hAnsi="仿宋" w:eastAsia="仿宋" w:cs="仿宋"/>
          <w:sz w:val="24"/>
        </w:rPr>
        <w:t>供应商应及时通报软件升级情况，并免费进行软件升级和技术支持。</w:t>
      </w:r>
    </w:p>
    <w:p>
      <w:pPr>
        <w:spacing w:line="360" w:lineRule="auto"/>
        <w:ind w:left="420"/>
        <w:rPr>
          <w:rFonts w:hint="eastAsia" w:ascii="仿宋" w:hAnsi="仿宋" w:eastAsia="仿宋" w:cs="仿宋"/>
          <w:sz w:val="24"/>
        </w:rPr>
      </w:pPr>
      <w:r>
        <w:rPr>
          <w:rFonts w:hint="eastAsia" w:ascii="仿宋" w:hAnsi="仿宋" w:eastAsia="仿宋" w:cs="仿宋"/>
          <w:sz w:val="24"/>
        </w:rPr>
        <w:t>3.1</w:t>
      </w:r>
      <w:r>
        <w:rPr>
          <w:rFonts w:hint="eastAsia" w:ascii="仿宋" w:hAnsi="仿宋" w:eastAsia="仿宋" w:cs="仿宋"/>
          <w:sz w:val="24"/>
          <w:lang w:val="en-US" w:eastAsia="zh-CN"/>
        </w:rPr>
        <w:t>.</w:t>
      </w:r>
      <w:r>
        <w:rPr>
          <w:rFonts w:hint="eastAsia" w:ascii="仿宋" w:hAnsi="仿宋" w:eastAsia="仿宋" w:cs="仿宋"/>
          <w:sz w:val="24"/>
        </w:rPr>
        <w:t>5定期巡检</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维护期内，在平常系统的正常运行中，供应商应定期（每个月）安排例行巡检，对系统运行情况进行定期检查、优化，对潜在的故障点进行预防，巡检报告要提交用户系统管理人员。</w:t>
      </w:r>
    </w:p>
    <w:p>
      <w:pPr>
        <w:spacing w:line="360" w:lineRule="auto"/>
        <w:ind w:left="420"/>
        <w:rPr>
          <w:rFonts w:hint="eastAsia" w:ascii="仿宋" w:hAnsi="仿宋" w:eastAsia="仿宋" w:cs="仿宋"/>
          <w:sz w:val="24"/>
        </w:rPr>
      </w:pPr>
      <w:r>
        <w:rPr>
          <w:rFonts w:hint="eastAsia" w:ascii="仿宋" w:hAnsi="仿宋" w:eastAsia="仿宋" w:cs="仿宋"/>
          <w:sz w:val="24"/>
        </w:rPr>
        <w:t>3.1</w:t>
      </w:r>
      <w:r>
        <w:rPr>
          <w:rFonts w:hint="eastAsia" w:ascii="仿宋" w:hAnsi="仿宋" w:eastAsia="仿宋" w:cs="仿宋"/>
          <w:sz w:val="24"/>
          <w:lang w:val="en-US" w:eastAsia="zh-CN"/>
        </w:rPr>
        <w:t>.</w:t>
      </w:r>
      <w:r>
        <w:rPr>
          <w:rFonts w:hint="eastAsia" w:ascii="仿宋" w:hAnsi="仿宋" w:eastAsia="仿宋" w:cs="仿宋"/>
          <w:sz w:val="24"/>
        </w:rPr>
        <w:t>6现场技术支持</w:t>
      </w:r>
    </w:p>
    <w:p>
      <w:pPr>
        <w:spacing w:line="360" w:lineRule="auto"/>
        <w:ind w:firstLine="480" w:firstLineChars="200"/>
        <w:rPr>
          <w:rFonts w:ascii="仿宋" w:hAnsi="仿宋" w:eastAsia="仿宋" w:cs="仿宋"/>
          <w:sz w:val="24"/>
        </w:rPr>
      </w:pPr>
      <w:r>
        <w:rPr>
          <w:rFonts w:hint="eastAsia" w:ascii="仿宋" w:hAnsi="仿宋" w:eastAsia="仿宋" w:cs="仿宋"/>
          <w:sz w:val="24"/>
        </w:rPr>
        <w:t>在系统运行过程中，供应商技术服务人员搜集全面故障信息并对故障现象进行分析后，对于不能通过电话沟通协调解决的问题，应为用户提供现场技术支持，保证尽快赶到现场检查处理。供应商应提供重大活动前的系统设备巡检及现场专人运行保障服务和现场技术支持服务。</w:t>
      </w:r>
    </w:p>
    <w:p>
      <w:pPr>
        <w:spacing w:line="360" w:lineRule="auto"/>
        <w:ind w:left="425"/>
        <w:rPr>
          <w:rFonts w:hint="eastAsia" w:ascii="仿宋" w:hAnsi="仿宋" w:eastAsia="仿宋" w:cs="仿宋"/>
          <w:b/>
          <w:bCs/>
          <w:sz w:val="24"/>
          <w:lang w:val="en-US" w:eastAsia="zh-CN"/>
        </w:rPr>
      </w:pPr>
      <w:r>
        <w:rPr>
          <w:rFonts w:hint="eastAsia" w:ascii="仿宋" w:hAnsi="仿宋" w:eastAsia="仿宋" w:cs="仿宋"/>
          <w:b/>
          <w:bCs/>
          <w:sz w:val="24"/>
          <w:lang w:val="en-US" w:eastAsia="zh-CN"/>
        </w:rPr>
        <w:t>4.技术支持和售后服务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.1故障等级划分和响应时间要求</w:t>
      </w:r>
    </w:p>
    <w:p>
      <w:pPr>
        <w:ind w:firstLine="480" w:firstLineChars="200"/>
        <w:rPr>
          <w:rFonts w:hint="eastAsia" w:ascii="仿宋_GB2312" w:eastAsia="仿宋_GB2312"/>
          <w:sz w:val="24"/>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4373"/>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4"/>
              </w:rPr>
            </w:pPr>
            <w:r>
              <w:rPr>
                <w:rFonts w:hint="eastAsia" w:ascii="仿宋_GB2312" w:hAnsi="宋体" w:eastAsia="仿宋_GB2312"/>
                <w:sz w:val="24"/>
              </w:rPr>
              <w:t>严重性等级</w:t>
            </w:r>
          </w:p>
        </w:tc>
        <w:tc>
          <w:tcPr>
            <w:tcW w:w="4373"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4"/>
              </w:rPr>
            </w:pPr>
            <w:r>
              <w:rPr>
                <w:rFonts w:hint="eastAsia" w:ascii="仿宋_GB2312" w:hAnsi="宋体" w:eastAsia="仿宋_GB2312"/>
                <w:sz w:val="24"/>
              </w:rPr>
              <w:t>定义</w:t>
            </w:r>
          </w:p>
        </w:tc>
        <w:tc>
          <w:tcPr>
            <w:tcW w:w="1964"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4"/>
              </w:rPr>
            </w:pPr>
            <w:r>
              <w:rPr>
                <w:rFonts w:hint="eastAsia" w:ascii="仿宋_GB2312" w:hAnsi="宋体" w:eastAsia="仿宋_GB2312"/>
                <w:sz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4"/>
              </w:rPr>
            </w:pPr>
            <w:r>
              <w:rPr>
                <w:rFonts w:hint="eastAsia" w:ascii="仿宋_GB2312" w:hAnsi="宋体" w:eastAsia="仿宋_GB2312"/>
                <w:sz w:val="24"/>
              </w:rPr>
              <w:t>一级事件</w:t>
            </w:r>
          </w:p>
        </w:tc>
        <w:tc>
          <w:tcPr>
            <w:tcW w:w="437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hAnsi="宋体" w:eastAsia="仿宋_GB2312"/>
                <w:sz w:val="24"/>
              </w:rPr>
              <w:t>系统运行完全中断4小时以上，造成严重的生产或业务影响</w:t>
            </w:r>
          </w:p>
        </w:tc>
        <w:tc>
          <w:tcPr>
            <w:tcW w:w="1964"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hAnsi="宋体" w:eastAsia="仿宋_GB2312"/>
                <w:sz w:val="24"/>
              </w:rPr>
              <w:t>4小时内恢复生产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sz w:val="24"/>
              </w:rPr>
            </w:pPr>
            <w:r>
              <w:rPr>
                <w:rFonts w:hint="eastAsia" w:ascii="仿宋_GB2312" w:hAnsi="宋体" w:eastAsia="仿宋_GB2312"/>
                <w:sz w:val="24"/>
              </w:rPr>
              <w:t>二级事件</w:t>
            </w:r>
          </w:p>
        </w:tc>
        <w:tc>
          <w:tcPr>
            <w:tcW w:w="437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hAnsi="宋体" w:eastAsia="仿宋_GB2312"/>
                <w:sz w:val="24"/>
              </w:rPr>
              <w:t>造成较高的生产或业务影响</w:t>
            </w:r>
          </w:p>
        </w:tc>
        <w:tc>
          <w:tcPr>
            <w:tcW w:w="1964"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hAnsi="宋体" w:eastAsia="仿宋_GB2312"/>
                <w:sz w:val="24"/>
              </w:rPr>
              <w:t>4小时内恢复生产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sz w:val="24"/>
              </w:rPr>
            </w:pPr>
            <w:r>
              <w:rPr>
                <w:rFonts w:hint="eastAsia" w:ascii="仿宋_GB2312" w:hAnsi="宋体" w:eastAsia="仿宋_GB2312"/>
                <w:sz w:val="24"/>
              </w:rPr>
              <w:t>三级事件</w:t>
            </w:r>
          </w:p>
        </w:tc>
        <w:tc>
          <w:tcPr>
            <w:tcW w:w="4373"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hAnsi="宋体" w:eastAsia="仿宋_GB2312"/>
                <w:sz w:val="24"/>
              </w:rPr>
              <w:t>系统性能下降，但对生产或业务无影响</w:t>
            </w:r>
          </w:p>
        </w:tc>
        <w:tc>
          <w:tcPr>
            <w:tcW w:w="1964"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 w:val="24"/>
              </w:rPr>
            </w:pPr>
            <w:r>
              <w:rPr>
                <w:rFonts w:hint="eastAsia" w:ascii="仿宋_GB2312" w:hAnsi="宋体" w:eastAsia="仿宋_GB2312"/>
                <w:sz w:val="24"/>
              </w:rPr>
              <w:t>48小时内恢复生产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sz w:val="24"/>
              </w:rPr>
            </w:pPr>
            <w:r>
              <w:rPr>
                <w:rFonts w:hint="eastAsia" w:ascii="仿宋_GB2312" w:hAnsi="宋体" w:eastAsia="仿宋_GB2312"/>
                <w:sz w:val="24"/>
              </w:rPr>
              <w:t>四级事件</w:t>
            </w:r>
          </w:p>
        </w:tc>
        <w:tc>
          <w:tcPr>
            <w:tcW w:w="4373"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z w:val="24"/>
              </w:rPr>
            </w:pPr>
            <w:r>
              <w:rPr>
                <w:rFonts w:hint="eastAsia" w:ascii="仿宋_GB2312" w:hAnsi="宋体" w:eastAsia="仿宋_GB2312"/>
                <w:sz w:val="24"/>
              </w:rPr>
              <w:t>系统性能无下降，生产或业务无影响</w:t>
            </w:r>
          </w:p>
        </w:tc>
        <w:tc>
          <w:tcPr>
            <w:tcW w:w="1964"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sz w:val="24"/>
              </w:rPr>
            </w:pPr>
            <w:r>
              <w:rPr>
                <w:rFonts w:hint="eastAsia" w:ascii="仿宋_GB2312" w:hAnsi="宋体" w:eastAsia="仿宋_GB2312"/>
                <w:sz w:val="24"/>
              </w:rPr>
              <w:t>48小时内恢复生产</w:t>
            </w:r>
          </w:p>
        </w:tc>
      </w:tr>
    </w:tbl>
    <w:p>
      <w:pPr>
        <w:rPr>
          <w:rFonts w:hint="eastAsia"/>
        </w:rPr>
      </w:pPr>
      <w:bookmarkStart w:id="0" w:name="_GoBack"/>
      <w:bookmarkEnd w:id="0"/>
    </w:p>
    <w:sectPr>
      <w:headerReference r:id="rId3" w:type="default"/>
      <w:footerReference r:id="rId4" w:type="default"/>
      <w:pgSz w:w="11906" w:h="16838"/>
      <w:pgMar w:top="1440" w:right="1800" w:bottom="1440" w:left="180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3">
    <w:altName w:val="Symbol"/>
    <w:panose1 w:val="050401020108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9" w:usb3="00000000" w:csb0="000001FF" w:csb1="00000000"/>
  </w:font>
  <w:font w:name="Futura Bk">
    <w:altName w:val="Segoe Print"/>
    <w:panose1 w:val="00000000000000000000"/>
    <w:charset w:val="00"/>
    <w:family w:val="swiss"/>
    <w:pitch w:val="default"/>
    <w:sig w:usb0="00000000" w:usb1="00000000" w:usb2="00000000" w:usb3="00000000" w:csb0="0000009F" w:csb1="00000000"/>
  </w:font>
  <w:font w:name="华文楷体">
    <w:altName w:val="宋体"/>
    <w:panose1 w:val="02010600040101010101"/>
    <w:charset w:val="86"/>
    <w:family w:val="auto"/>
    <w:pitch w:val="default"/>
    <w:sig w:usb0="00000000" w:usb1="00000000" w:usb2="00000000" w:usb3="00000000" w:csb0="0004009F" w:csb1="DFD70000"/>
  </w:font>
  <w:font w:name="Gill Sans">
    <w:altName w:val="Segoe Print"/>
    <w:panose1 w:val="00000000000000000000"/>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Arial Unicode MS">
    <w:altName w:val="宋体"/>
    <w:panose1 w:val="020B0604020202020204"/>
    <w:charset w:val="86"/>
    <w:family w:val="swiss"/>
    <w:pitch w:val="default"/>
    <w:sig w:usb0="00000000" w:usb1="00000000" w:usb2="0000003F" w:usb3="00000000" w:csb0="603F01FF" w:csb1="FFFF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Dotu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114300" distR="114300">
          <wp:extent cx="1038225" cy="328930"/>
          <wp:effectExtent l="0" t="0" r="9525" b="13970"/>
          <wp:docPr id="1" name="图片 1" descr="新建 BMP 图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建 BMP 图像 (4).JPG"/>
                  <pic:cNvPicPr>
                    <a:picLocks noChangeAspect="1"/>
                  </pic:cNvPicPr>
                </pic:nvPicPr>
                <pic:blipFill>
                  <a:blip r:embed="rId1"/>
                  <a:stretch>
                    <a:fillRect/>
                  </a:stretch>
                </pic:blipFill>
                <pic:spPr>
                  <a:xfrm>
                    <a:off x="0" y="0"/>
                    <a:ext cx="1038225" cy="328930"/>
                  </a:xfrm>
                  <a:prstGeom prst="rect">
                    <a:avLst/>
                  </a:prstGeom>
                  <a:noFill/>
                  <a:ln w="9525">
                    <a:noFill/>
                  </a:ln>
                </pic:spPr>
              </pic:pic>
            </a:graphicData>
          </a:graphic>
        </wp:inline>
      </w:drawing>
    </w:r>
    <w:r>
      <w:rPr>
        <w:rFonts w:hint="eastAsia"/>
      </w:rPr>
      <w:t xml:space="preserve">                                                  信息管理部 采购需求说明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F66"/>
    <w:multiLevelType w:val="multilevel"/>
    <w:tmpl w:val="306D0F6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3D"/>
    <w:rsid w:val="000103A5"/>
    <w:rsid w:val="00012CF4"/>
    <w:rsid w:val="000425AB"/>
    <w:rsid w:val="0004623B"/>
    <w:rsid w:val="000740AC"/>
    <w:rsid w:val="00091063"/>
    <w:rsid w:val="00091BCF"/>
    <w:rsid w:val="000A4217"/>
    <w:rsid w:val="000A782F"/>
    <w:rsid w:val="000C3D23"/>
    <w:rsid w:val="000C45C2"/>
    <w:rsid w:val="000F24BE"/>
    <w:rsid w:val="0010541B"/>
    <w:rsid w:val="00122FAE"/>
    <w:rsid w:val="001266DA"/>
    <w:rsid w:val="00162E3D"/>
    <w:rsid w:val="0016304C"/>
    <w:rsid w:val="001764D8"/>
    <w:rsid w:val="00182D2B"/>
    <w:rsid w:val="00185571"/>
    <w:rsid w:val="001A63F8"/>
    <w:rsid w:val="001D2026"/>
    <w:rsid w:val="002250D6"/>
    <w:rsid w:val="00265A82"/>
    <w:rsid w:val="002A1FC6"/>
    <w:rsid w:val="002E608D"/>
    <w:rsid w:val="002F21AE"/>
    <w:rsid w:val="00337BDA"/>
    <w:rsid w:val="003574B9"/>
    <w:rsid w:val="00374B86"/>
    <w:rsid w:val="003A7E26"/>
    <w:rsid w:val="003D17C0"/>
    <w:rsid w:val="003D18A9"/>
    <w:rsid w:val="004002A3"/>
    <w:rsid w:val="00484E5E"/>
    <w:rsid w:val="004A1132"/>
    <w:rsid w:val="004D5F51"/>
    <w:rsid w:val="004E5742"/>
    <w:rsid w:val="00500115"/>
    <w:rsid w:val="00534095"/>
    <w:rsid w:val="00577DBD"/>
    <w:rsid w:val="005A3CCC"/>
    <w:rsid w:val="005D4AB6"/>
    <w:rsid w:val="005E7E43"/>
    <w:rsid w:val="005F2FD9"/>
    <w:rsid w:val="00600D08"/>
    <w:rsid w:val="00601277"/>
    <w:rsid w:val="0060655E"/>
    <w:rsid w:val="00612435"/>
    <w:rsid w:val="00675599"/>
    <w:rsid w:val="00697C65"/>
    <w:rsid w:val="006B1DD3"/>
    <w:rsid w:val="006D65A4"/>
    <w:rsid w:val="00701E8E"/>
    <w:rsid w:val="00702C48"/>
    <w:rsid w:val="00736177"/>
    <w:rsid w:val="007760F9"/>
    <w:rsid w:val="00792FD5"/>
    <w:rsid w:val="007A3153"/>
    <w:rsid w:val="007A623C"/>
    <w:rsid w:val="007C3620"/>
    <w:rsid w:val="007C3EFE"/>
    <w:rsid w:val="007E0259"/>
    <w:rsid w:val="00811C06"/>
    <w:rsid w:val="008402C9"/>
    <w:rsid w:val="008974B1"/>
    <w:rsid w:val="008A23EF"/>
    <w:rsid w:val="008F7F1B"/>
    <w:rsid w:val="009121FE"/>
    <w:rsid w:val="00921AA6"/>
    <w:rsid w:val="0092365C"/>
    <w:rsid w:val="00942EAA"/>
    <w:rsid w:val="00990E66"/>
    <w:rsid w:val="00996818"/>
    <w:rsid w:val="009C553D"/>
    <w:rsid w:val="00A45A38"/>
    <w:rsid w:val="00A56CF4"/>
    <w:rsid w:val="00AD543C"/>
    <w:rsid w:val="00AE1BF5"/>
    <w:rsid w:val="00AF67CE"/>
    <w:rsid w:val="00B126F5"/>
    <w:rsid w:val="00B40DA9"/>
    <w:rsid w:val="00B446D4"/>
    <w:rsid w:val="00B633A1"/>
    <w:rsid w:val="00B955CE"/>
    <w:rsid w:val="00BA532E"/>
    <w:rsid w:val="00BC20F1"/>
    <w:rsid w:val="00BC6B55"/>
    <w:rsid w:val="00BD2B59"/>
    <w:rsid w:val="00C07711"/>
    <w:rsid w:val="00C1404E"/>
    <w:rsid w:val="00C21F19"/>
    <w:rsid w:val="00C24629"/>
    <w:rsid w:val="00C43751"/>
    <w:rsid w:val="00C94E02"/>
    <w:rsid w:val="00CC40D8"/>
    <w:rsid w:val="00CD08E2"/>
    <w:rsid w:val="00D05655"/>
    <w:rsid w:val="00D07ED6"/>
    <w:rsid w:val="00D40EE9"/>
    <w:rsid w:val="00D8729C"/>
    <w:rsid w:val="00D92B38"/>
    <w:rsid w:val="00DB5B93"/>
    <w:rsid w:val="00DD0CD0"/>
    <w:rsid w:val="00DF1FA3"/>
    <w:rsid w:val="00E135B4"/>
    <w:rsid w:val="00E30870"/>
    <w:rsid w:val="00ED2B24"/>
    <w:rsid w:val="00EE140B"/>
    <w:rsid w:val="00EE3CA1"/>
    <w:rsid w:val="00F270E4"/>
    <w:rsid w:val="00F35B5F"/>
    <w:rsid w:val="00F43921"/>
    <w:rsid w:val="00F565BC"/>
    <w:rsid w:val="00F76B5C"/>
    <w:rsid w:val="00FC0564"/>
    <w:rsid w:val="00FC62F9"/>
    <w:rsid w:val="00FD3570"/>
    <w:rsid w:val="00FD7F44"/>
    <w:rsid w:val="06FC0E0F"/>
    <w:rsid w:val="33E1137F"/>
    <w:rsid w:val="64481C20"/>
    <w:rsid w:val="6D9122A8"/>
    <w:rsid w:val="7B87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qFormat/>
    <w:uiPriority w:val="10"/>
    <w:pPr>
      <w:spacing w:before="240" w:after="60"/>
      <w:jc w:val="center"/>
      <w:outlineLvl w:val="0"/>
    </w:pPr>
    <w:rPr>
      <w:rFonts w:ascii="Cambria" w:hAnsi="Cambria"/>
      <w:b/>
      <w:bCs/>
      <w:sz w:val="32"/>
      <w:szCs w:val="32"/>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List Paragraph"/>
    <w:basedOn w:val="1"/>
    <w:qFormat/>
    <w:uiPriority w:val="34"/>
    <w:pPr>
      <w:ind w:firstLine="420" w:firstLineChars="200"/>
    </w:pPr>
  </w:style>
  <w:style w:type="paragraph" w:customStyle="1" w:styleId="11">
    <w:name w:val="列出段落2"/>
    <w:basedOn w:val="1"/>
    <w:qFormat/>
    <w:uiPriority w:val="34"/>
    <w:pPr>
      <w:ind w:firstLine="420" w:firstLineChars="200"/>
    </w:pPr>
  </w:style>
  <w:style w:type="paragraph" w:customStyle="1" w:styleId="12">
    <w:name w:val="_Style 4"/>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374</Characters>
  <Lines>3</Lines>
  <Paragraphs>1</Paragraphs>
  <TotalTime>1</TotalTime>
  <ScaleCrop>false</ScaleCrop>
  <LinksUpToDate>false</LinksUpToDate>
  <CharactersWithSpaces>438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2015-09-17T07:34:00Z</dcterms:created>
  <dc:creator>聂斌</dc:creator>
  <cp:lastModifiedBy>过栋</cp:lastModifiedBy>
  <dcterms:modified xsi:type="dcterms:W3CDTF">2021-05-08T06:40:33Z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